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A0B51" w14:textId="77777777" w:rsidR="00207AFC" w:rsidRPr="00426640" w:rsidRDefault="00207AFC" w:rsidP="00207AFC">
      <w:pPr>
        <w:spacing w:after="0"/>
        <w:jc w:val="center"/>
        <w:rPr>
          <w:rFonts w:ascii="Times New Roman" w:hAnsi="Times New Roman" w:cs="Times New Roman"/>
          <w:sz w:val="32"/>
          <w:szCs w:val="32"/>
        </w:rPr>
      </w:pPr>
      <w:r w:rsidRPr="00426640">
        <w:rPr>
          <w:rFonts w:ascii="Times New Roman" w:hAnsi="Times New Roman" w:cs="Times New Roman"/>
          <w:sz w:val="32"/>
          <w:szCs w:val="32"/>
        </w:rPr>
        <w:t>Pharmacy Utilization Meeting</w:t>
      </w:r>
    </w:p>
    <w:p w14:paraId="7E00C9E9" w14:textId="652086F3" w:rsidR="00207AFC" w:rsidRDefault="0061684A" w:rsidP="00207AFC">
      <w:pPr>
        <w:spacing w:after="0"/>
        <w:jc w:val="center"/>
        <w:rPr>
          <w:rFonts w:ascii="Times New Roman" w:hAnsi="Times New Roman" w:cs="Times New Roman"/>
          <w:sz w:val="24"/>
          <w:szCs w:val="24"/>
        </w:rPr>
      </w:pPr>
      <w:r>
        <w:rPr>
          <w:rFonts w:ascii="Times New Roman" w:hAnsi="Times New Roman" w:cs="Times New Roman"/>
          <w:sz w:val="24"/>
          <w:szCs w:val="24"/>
        </w:rPr>
        <w:t>September 2</w:t>
      </w:r>
      <w:r w:rsidR="00207AFC">
        <w:rPr>
          <w:rFonts w:ascii="Times New Roman" w:hAnsi="Times New Roman" w:cs="Times New Roman"/>
          <w:sz w:val="24"/>
          <w:szCs w:val="24"/>
        </w:rPr>
        <w:t>, 2022</w:t>
      </w:r>
    </w:p>
    <w:p w14:paraId="7F4EE547" w14:textId="77777777" w:rsidR="00207AFC" w:rsidRDefault="00207AFC" w:rsidP="00207AFC">
      <w:pPr>
        <w:spacing w:after="0"/>
        <w:jc w:val="center"/>
        <w:rPr>
          <w:rFonts w:ascii="Times New Roman" w:hAnsi="Times New Roman" w:cs="Times New Roman"/>
          <w:sz w:val="24"/>
          <w:szCs w:val="24"/>
        </w:rPr>
      </w:pPr>
    </w:p>
    <w:p w14:paraId="10BEDBE4" w14:textId="77777777" w:rsidR="00207AFC" w:rsidRPr="00754C81" w:rsidRDefault="00207AFC" w:rsidP="00207AFC">
      <w:pPr>
        <w:rPr>
          <w:rFonts w:ascii="Times New Roman" w:hAnsi="Times New Roman" w:cs="Times New Roman"/>
          <w:b/>
          <w:bCs/>
          <w:sz w:val="24"/>
          <w:szCs w:val="24"/>
          <w:u w:val="single"/>
        </w:rPr>
      </w:pPr>
      <w:r w:rsidRPr="00754C81">
        <w:rPr>
          <w:rFonts w:ascii="Times New Roman" w:hAnsi="Times New Roman" w:cs="Times New Roman"/>
          <w:b/>
          <w:bCs/>
          <w:sz w:val="24"/>
          <w:szCs w:val="24"/>
          <w:u w:val="single"/>
        </w:rPr>
        <w:t>Attendees</w:t>
      </w:r>
    </w:p>
    <w:p w14:paraId="5A3E99EF" w14:textId="0DA6778D" w:rsidR="00AA7403" w:rsidRPr="00207AFC" w:rsidRDefault="00207AFC">
      <w:pPr>
        <w:rPr>
          <w:rFonts w:ascii="Times New Roman" w:hAnsi="Times New Roman" w:cs="Times New Roman"/>
          <w:color w:val="FF0000"/>
          <w:sz w:val="24"/>
          <w:szCs w:val="24"/>
          <w:shd w:val="clear" w:color="auto" w:fill="FFFFFF"/>
        </w:rPr>
      </w:pPr>
      <w:r w:rsidRPr="00DB5D79">
        <w:rPr>
          <w:rFonts w:ascii="Times New Roman" w:hAnsi="Times New Roman" w:cs="Times New Roman"/>
          <w:color w:val="333333"/>
          <w:sz w:val="24"/>
          <w:szCs w:val="24"/>
          <w:shd w:val="clear" w:color="auto" w:fill="FFFFFF"/>
        </w:rPr>
        <w:t>Linda Coyle (IMS)</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Jennifer Stevens (IMS)</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David Angelaszek (IMS)</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Chuck May (IMS)</w:t>
      </w:r>
      <w:r>
        <w:rPr>
          <w:rFonts w:ascii="Times New Roman" w:hAnsi="Times New Roman" w:cs="Times New Roman"/>
          <w:color w:val="333333"/>
          <w:sz w:val="24"/>
          <w:szCs w:val="24"/>
          <w:shd w:val="clear" w:color="auto" w:fill="FFFFFF"/>
        </w:rPr>
        <w:t xml:space="preserve"> – </w:t>
      </w:r>
      <w:r w:rsidRPr="00DB5D79">
        <w:rPr>
          <w:rFonts w:ascii="Times New Roman" w:hAnsi="Times New Roman" w:cs="Times New Roman"/>
          <w:color w:val="FF0000"/>
          <w:sz w:val="24"/>
          <w:szCs w:val="24"/>
          <w:shd w:val="clear" w:color="auto" w:fill="FFFFFF"/>
        </w:rPr>
        <w:t>absent</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Emily Carver (IMS)</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Kevin Ward (Georgia)</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Randi Rycroft (Idaho)</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Serban Negoita (NCI)</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Peggy Adamo (NCI)</w:t>
      </w:r>
      <w:r>
        <w:rPr>
          <w:rFonts w:ascii="Times New Roman" w:hAnsi="Times New Roman" w:cs="Times New Roman"/>
          <w:color w:val="333333"/>
          <w:sz w:val="24"/>
          <w:szCs w:val="24"/>
          <w:shd w:val="clear" w:color="auto" w:fill="FFFFFF"/>
        </w:rPr>
        <w:t xml:space="preserve"> – </w:t>
      </w:r>
      <w:r w:rsidRPr="00DB5D79">
        <w:rPr>
          <w:rFonts w:ascii="Times New Roman" w:hAnsi="Times New Roman" w:cs="Times New Roman"/>
          <w:color w:val="FF0000"/>
          <w:sz w:val="24"/>
          <w:szCs w:val="24"/>
          <w:shd w:val="clear" w:color="auto" w:fill="FFFFFF"/>
        </w:rPr>
        <w:t>absent</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Marina Matatova (NCI)</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Nadia Howlader (NCI)</w:t>
      </w:r>
      <w:r>
        <w:rPr>
          <w:rFonts w:ascii="Times New Roman" w:hAnsi="Times New Roman" w:cs="Times New Roman"/>
          <w:color w:val="333333"/>
          <w:sz w:val="24"/>
          <w:szCs w:val="24"/>
          <w:shd w:val="clear" w:color="auto" w:fill="FFFFFF"/>
        </w:rPr>
        <w:t xml:space="preserve"> – </w:t>
      </w:r>
      <w:r w:rsidRPr="00DB5D79">
        <w:rPr>
          <w:rFonts w:ascii="Times New Roman" w:hAnsi="Times New Roman" w:cs="Times New Roman"/>
          <w:color w:val="FF0000"/>
          <w:sz w:val="24"/>
          <w:szCs w:val="24"/>
          <w:shd w:val="clear" w:color="auto" w:fill="FFFFFF"/>
        </w:rPr>
        <w:t>absent</w:t>
      </w:r>
    </w:p>
    <w:p w14:paraId="192A6EC0" w14:textId="44585CF9" w:rsidR="00207AFC" w:rsidRPr="00207AFC" w:rsidRDefault="00207AFC" w:rsidP="00207AFC">
      <w:pPr>
        <w:spacing w:after="0" w:line="240" w:lineRule="auto"/>
        <w:rPr>
          <w:rFonts w:ascii="Times New Roman" w:eastAsia="Times New Roman" w:hAnsi="Times New Roman" w:cs="Times New Roman"/>
          <w:sz w:val="24"/>
          <w:szCs w:val="24"/>
        </w:rPr>
      </w:pPr>
      <w:r w:rsidRPr="00207AFC">
        <w:rPr>
          <w:rFonts w:ascii="Times New Roman" w:eastAsia="Times New Roman" w:hAnsi="Times New Roman" w:cs="Times New Roman"/>
          <w:color w:val="333333"/>
          <w:sz w:val="24"/>
          <w:szCs w:val="24"/>
          <w:shd w:val="clear" w:color="auto" w:fill="FFFFFF"/>
        </w:rPr>
        <w:t>1. We discussed how we are handling unknown dates</w:t>
      </w:r>
    </w:p>
    <w:p w14:paraId="0BE779DE" w14:textId="77777777" w:rsidR="00207AFC" w:rsidRPr="00207AFC" w:rsidRDefault="00207AFC" w:rsidP="00207AFC">
      <w:pPr>
        <w:numPr>
          <w:ilvl w:val="0"/>
          <w:numId w:val="1"/>
        </w:numPr>
        <w:shd w:val="clear" w:color="auto" w:fill="FFFFFF"/>
        <w:spacing w:after="0" w:line="240" w:lineRule="auto"/>
        <w:rPr>
          <w:rFonts w:ascii="Times New Roman" w:eastAsia="Times New Roman" w:hAnsi="Times New Roman" w:cs="Times New Roman"/>
          <w:color w:val="333333"/>
          <w:sz w:val="24"/>
          <w:szCs w:val="24"/>
        </w:rPr>
      </w:pPr>
      <w:r w:rsidRPr="00207AFC">
        <w:rPr>
          <w:rFonts w:ascii="Times New Roman" w:eastAsia="Times New Roman" w:hAnsi="Times New Roman" w:cs="Times New Roman"/>
          <w:color w:val="333333"/>
          <w:sz w:val="24"/>
          <w:szCs w:val="24"/>
        </w:rPr>
        <w:t>Our analysis uses submission data which has no days in the dates</w:t>
      </w:r>
    </w:p>
    <w:p w14:paraId="4A3B0361" w14:textId="77777777" w:rsidR="00207AFC" w:rsidRPr="00207AFC" w:rsidRDefault="00207AFC" w:rsidP="00207AFC">
      <w:pPr>
        <w:numPr>
          <w:ilvl w:val="0"/>
          <w:numId w:val="1"/>
        </w:numPr>
        <w:shd w:val="clear" w:color="auto" w:fill="FFFFFF"/>
        <w:spacing w:after="0" w:line="240" w:lineRule="auto"/>
        <w:rPr>
          <w:rFonts w:ascii="Times New Roman" w:eastAsia="Times New Roman" w:hAnsi="Times New Roman" w:cs="Times New Roman"/>
          <w:color w:val="333333"/>
          <w:sz w:val="24"/>
          <w:szCs w:val="24"/>
        </w:rPr>
      </w:pPr>
      <w:r w:rsidRPr="00207AFC">
        <w:rPr>
          <w:rFonts w:ascii="Times New Roman" w:eastAsia="Times New Roman" w:hAnsi="Times New Roman" w:cs="Times New Roman"/>
          <w:color w:val="333333"/>
          <w:sz w:val="24"/>
          <w:szCs w:val="24"/>
        </w:rPr>
        <w:t>We impute the day to be 01 in analyses. This can mean our counts are not always correct when comparing dates - especially for dates within the same month.</w:t>
      </w:r>
    </w:p>
    <w:p w14:paraId="54FD6FE3" w14:textId="1ABE89BC" w:rsidR="00207AFC" w:rsidRPr="00207AFC" w:rsidRDefault="00207AFC" w:rsidP="00207AFC">
      <w:pPr>
        <w:numPr>
          <w:ilvl w:val="0"/>
          <w:numId w:val="1"/>
        </w:numPr>
        <w:shd w:val="clear" w:color="auto" w:fill="FFFFFF"/>
        <w:spacing w:after="0" w:line="240" w:lineRule="auto"/>
        <w:rPr>
          <w:rFonts w:ascii="Times New Roman" w:eastAsia="Times New Roman" w:hAnsi="Times New Roman" w:cs="Times New Roman"/>
          <w:color w:val="333333"/>
          <w:sz w:val="24"/>
          <w:szCs w:val="24"/>
        </w:rPr>
      </w:pPr>
      <w:r w:rsidRPr="00207AFC">
        <w:rPr>
          <w:rFonts w:ascii="Times New Roman" w:eastAsia="Times New Roman" w:hAnsi="Times New Roman" w:cs="Times New Roman"/>
          <w:color w:val="333333"/>
          <w:sz w:val="24"/>
          <w:szCs w:val="24"/>
        </w:rPr>
        <w:t xml:space="preserve">In </w:t>
      </w:r>
      <w:r>
        <w:rPr>
          <w:rFonts w:ascii="Times New Roman" w:eastAsia="Times New Roman" w:hAnsi="Times New Roman" w:cs="Times New Roman"/>
          <w:color w:val="333333"/>
          <w:sz w:val="24"/>
          <w:szCs w:val="24"/>
        </w:rPr>
        <w:t>SEER*</w:t>
      </w:r>
      <w:r w:rsidRPr="00207AFC">
        <w:rPr>
          <w:rFonts w:ascii="Times New Roman" w:eastAsia="Times New Roman" w:hAnsi="Times New Roman" w:cs="Times New Roman"/>
          <w:color w:val="333333"/>
          <w:sz w:val="24"/>
          <w:szCs w:val="24"/>
        </w:rPr>
        <w:t>DMS we would be able to use days in dates for setting these fields</w:t>
      </w:r>
    </w:p>
    <w:p w14:paraId="19BA3487" w14:textId="3BA16652" w:rsidR="00207AFC" w:rsidRPr="00207AFC" w:rsidRDefault="00207AFC" w:rsidP="00207AFC">
      <w:pPr>
        <w:numPr>
          <w:ilvl w:val="0"/>
          <w:numId w:val="1"/>
        </w:numPr>
        <w:shd w:val="clear" w:color="auto" w:fill="FFFFFF"/>
        <w:spacing w:after="0" w:line="240" w:lineRule="auto"/>
        <w:rPr>
          <w:rFonts w:ascii="Times New Roman" w:eastAsia="Times New Roman" w:hAnsi="Times New Roman" w:cs="Times New Roman"/>
          <w:color w:val="333333"/>
          <w:sz w:val="24"/>
          <w:szCs w:val="24"/>
        </w:rPr>
      </w:pPr>
      <w:r w:rsidRPr="00207AFC">
        <w:rPr>
          <w:rFonts w:ascii="Times New Roman" w:eastAsia="Times New Roman" w:hAnsi="Times New Roman" w:cs="Times New Roman"/>
          <w:color w:val="333333"/>
          <w:sz w:val="24"/>
          <w:szCs w:val="24"/>
        </w:rPr>
        <w:t>No one expressed concern over our approach to handling this in our analyses with submission data.</w:t>
      </w:r>
    </w:p>
    <w:p w14:paraId="643E4344" w14:textId="77777777" w:rsidR="00207AFC" w:rsidRDefault="00207AFC" w:rsidP="00207AFC">
      <w:pPr>
        <w:spacing w:after="0" w:line="240" w:lineRule="auto"/>
        <w:rPr>
          <w:rFonts w:ascii="Times New Roman" w:eastAsia="Times New Roman" w:hAnsi="Times New Roman" w:cs="Times New Roman"/>
          <w:color w:val="333333"/>
          <w:sz w:val="24"/>
          <w:szCs w:val="24"/>
          <w:shd w:val="clear" w:color="auto" w:fill="FFFFFF"/>
        </w:rPr>
      </w:pPr>
    </w:p>
    <w:p w14:paraId="177DE973" w14:textId="46451B89" w:rsidR="00207AFC" w:rsidRPr="00207AFC" w:rsidRDefault="00207AFC" w:rsidP="00207AFC">
      <w:pPr>
        <w:spacing w:after="0" w:line="240" w:lineRule="auto"/>
        <w:rPr>
          <w:rFonts w:ascii="Times New Roman" w:eastAsia="Times New Roman" w:hAnsi="Times New Roman" w:cs="Times New Roman"/>
          <w:sz w:val="24"/>
          <w:szCs w:val="24"/>
        </w:rPr>
      </w:pPr>
      <w:r w:rsidRPr="00207AFC">
        <w:rPr>
          <w:rFonts w:ascii="Times New Roman" w:eastAsia="Times New Roman" w:hAnsi="Times New Roman" w:cs="Times New Roman"/>
          <w:color w:val="333333"/>
          <w:sz w:val="24"/>
          <w:szCs w:val="24"/>
          <w:shd w:val="clear" w:color="auto" w:fill="FFFFFF"/>
        </w:rPr>
        <w:t>2. Analysis of cases with dispense dates before DX dates.</w:t>
      </w:r>
    </w:p>
    <w:p w14:paraId="5471A26A" w14:textId="64396805" w:rsidR="00207AFC" w:rsidRPr="00207AFC" w:rsidRDefault="00207AFC" w:rsidP="00207AFC">
      <w:pPr>
        <w:numPr>
          <w:ilvl w:val="0"/>
          <w:numId w:val="2"/>
        </w:numPr>
        <w:shd w:val="clear" w:color="auto" w:fill="FFFFFF"/>
        <w:spacing w:after="0" w:line="240" w:lineRule="auto"/>
        <w:rPr>
          <w:rFonts w:ascii="Times New Roman" w:eastAsia="Times New Roman" w:hAnsi="Times New Roman" w:cs="Times New Roman"/>
          <w:color w:val="333333"/>
          <w:sz w:val="24"/>
          <w:szCs w:val="24"/>
        </w:rPr>
      </w:pPr>
      <w:r w:rsidRPr="00207AFC">
        <w:rPr>
          <w:rFonts w:ascii="Times New Roman" w:eastAsia="Times New Roman" w:hAnsi="Times New Roman" w:cs="Times New Roman"/>
          <w:color w:val="333333"/>
          <w:sz w:val="24"/>
          <w:szCs w:val="24"/>
        </w:rPr>
        <w:t>There was surprise over the high average date intervals from dispense date to diagnosis date for claims with dispense dates earlier than DX date.</w:t>
      </w:r>
    </w:p>
    <w:p w14:paraId="26709AD8" w14:textId="77777777" w:rsidR="00207AFC" w:rsidRPr="00207AFC" w:rsidRDefault="00207AFC" w:rsidP="00207AFC">
      <w:pPr>
        <w:numPr>
          <w:ilvl w:val="0"/>
          <w:numId w:val="2"/>
        </w:numPr>
        <w:shd w:val="clear" w:color="auto" w:fill="FFFFFF"/>
        <w:spacing w:after="0" w:line="240" w:lineRule="auto"/>
        <w:rPr>
          <w:rFonts w:ascii="Times New Roman" w:eastAsia="Times New Roman" w:hAnsi="Times New Roman" w:cs="Times New Roman"/>
          <w:color w:val="333333"/>
          <w:sz w:val="24"/>
          <w:szCs w:val="24"/>
        </w:rPr>
      </w:pPr>
      <w:r w:rsidRPr="00207AFC">
        <w:rPr>
          <w:rFonts w:ascii="Times New Roman" w:eastAsia="Times New Roman" w:hAnsi="Times New Roman" w:cs="Times New Roman"/>
          <w:color w:val="333333"/>
          <w:sz w:val="24"/>
          <w:szCs w:val="24"/>
        </w:rPr>
        <w:t>Chemo showed that 75% of claims were before cases that had sequence number 00 and 01.</w:t>
      </w:r>
    </w:p>
    <w:p w14:paraId="48F11E3E" w14:textId="77777777" w:rsidR="00207AFC" w:rsidRPr="00207AFC" w:rsidRDefault="00207AFC" w:rsidP="00207AFC">
      <w:pPr>
        <w:numPr>
          <w:ilvl w:val="0"/>
          <w:numId w:val="2"/>
        </w:numPr>
        <w:shd w:val="clear" w:color="auto" w:fill="FFFFFF"/>
        <w:spacing w:after="0" w:line="240" w:lineRule="auto"/>
        <w:rPr>
          <w:rFonts w:ascii="Times New Roman" w:eastAsia="Times New Roman" w:hAnsi="Times New Roman" w:cs="Times New Roman"/>
          <w:color w:val="333333"/>
          <w:sz w:val="24"/>
          <w:szCs w:val="24"/>
        </w:rPr>
      </w:pPr>
      <w:r w:rsidRPr="00207AFC">
        <w:rPr>
          <w:rFonts w:ascii="Times New Roman" w:eastAsia="Times New Roman" w:hAnsi="Times New Roman" w:cs="Times New Roman"/>
          <w:b/>
          <w:bCs/>
          <w:color w:val="333333"/>
          <w:sz w:val="24"/>
          <w:szCs w:val="24"/>
        </w:rPr>
        <w:t>Action</w:t>
      </w:r>
      <w:r w:rsidRPr="00207AFC">
        <w:rPr>
          <w:rFonts w:ascii="Times New Roman" w:eastAsia="Times New Roman" w:hAnsi="Times New Roman" w:cs="Times New Roman"/>
          <w:color w:val="333333"/>
          <w:sz w:val="24"/>
          <w:szCs w:val="24"/>
        </w:rPr>
        <w:t>: Need to restrict the high average date interval analysis to claims that are before cases that had sequence number 00 and 01. It could be cases with higher sequence numbers are skewing the average. Compare results done for just sequence number 02+.</w:t>
      </w:r>
    </w:p>
    <w:p w14:paraId="65221F31" w14:textId="77777777" w:rsidR="00207AFC" w:rsidRPr="00207AFC" w:rsidRDefault="00207AFC" w:rsidP="00207AFC">
      <w:pPr>
        <w:numPr>
          <w:ilvl w:val="0"/>
          <w:numId w:val="2"/>
        </w:numPr>
        <w:shd w:val="clear" w:color="auto" w:fill="FFFFFF"/>
        <w:spacing w:after="0" w:line="240" w:lineRule="auto"/>
        <w:rPr>
          <w:rFonts w:ascii="Times New Roman" w:eastAsia="Times New Roman" w:hAnsi="Times New Roman" w:cs="Times New Roman"/>
          <w:color w:val="333333"/>
          <w:sz w:val="24"/>
          <w:szCs w:val="24"/>
        </w:rPr>
      </w:pPr>
      <w:r w:rsidRPr="00207AFC">
        <w:rPr>
          <w:rFonts w:ascii="Times New Roman" w:eastAsia="Times New Roman" w:hAnsi="Times New Roman" w:cs="Times New Roman"/>
          <w:b/>
          <w:bCs/>
          <w:color w:val="333333"/>
          <w:sz w:val="24"/>
          <w:szCs w:val="24"/>
        </w:rPr>
        <w:t>Action</w:t>
      </w:r>
      <w:r w:rsidRPr="00207AFC">
        <w:rPr>
          <w:rFonts w:ascii="Times New Roman" w:eastAsia="Times New Roman" w:hAnsi="Times New Roman" w:cs="Times New Roman"/>
          <w:color w:val="333333"/>
          <w:sz w:val="24"/>
          <w:szCs w:val="24"/>
        </w:rPr>
        <w:t>: get counts of patients. We showed counts of claims today.</w:t>
      </w:r>
    </w:p>
    <w:p w14:paraId="69137F81" w14:textId="77777777" w:rsidR="00207AFC" w:rsidRPr="00207AFC" w:rsidRDefault="00207AFC" w:rsidP="00207AFC">
      <w:pPr>
        <w:numPr>
          <w:ilvl w:val="0"/>
          <w:numId w:val="2"/>
        </w:numPr>
        <w:shd w:val="clear" w:color="auto" w:fill="FFFFFF"/>
        <w:spacing w:after="0" w:line="240" w:lineRule="auto"/>
        <w:rPr>
          <w:rFonts w:ascii="Times New Roman" w:eastAsia="Times New Roman" w:hAnsi="Times New Roman" w:cs="Times New Roman"/>
          <w:color w:val="333333"/>
          <w:sz w:val="24"/>
          <w:szCs w:val="24"/>
        </w:rPr>
      </w:pPr>
      <w:r w:rsidRPr="00207AFC">
        <w:rPr>
          <w:rFonts w:ascii="Times New Roman" w:eastAsia="Times New Roman" w:hAnsi="Times New Roman" w:cs="Times New Roman"/>
          <w:b/>
          <w:bCs/>
          <w:color w:val="333333"/>
          <w:sz w:val="24"/>
          <w:szCs w:val="24"/>
        </w:rPr>
        <w:t>Action</w:t>
      </w:r>
      <w:r w:rsidRPr="00207AFC">
        <w:rPr>
          <w:rFonts w:ascii="Times New Roman" w:eastAsia="Times New Roman" w:hAnsi="Times New Roman" w:cs="Times New Roman"/>
          <w:color w:val="333333"/>
          <w:sz w:val="24"/>
          <w:szCs w:val="24"/>
        </w:rPr>
        <w:t>: break out counts by drug.</w:t>
      </w:r>
    </w:p>
    <w:p w14:paraId="076CE223" w14:textId="77777777" w:rsidR="00207AFC" w:rsidRDefault="00207AFC" w:rsidP="00207AFC">
      <w:pPr>
        <w:spacing w:after="0" w:line="240" w:lineRule="auto"/>
        <w:rPr>
          <w:rFonts w:ascii="Times New Roman" w:eastAsia="Times New Roman" w:hAnsi="Times New Roman" w:cs="Times New Roman"/>
          <w:color w:val="333333"/>
          <w:sz w:val="24"/>
          <w:szCs w:val="24"/>
          <w:shd w:val="clear" w:color="auto" w:fill="FFFFFF"/>
        </w:rPr>
      </w:pPr>
    </w:p>
    <w:p w14:paraId="2C0F5680" w14:textId="43A76224" w:rsidR="00207AFC" w:rsidRPr="00207AFC" w:rsidRDefault="00207AFC" w:rsidP="00207AFC">
      <w:pPr>
        <w:spacing w:after="0" w:line="240" w:lineRule="auto"/>
        <w:rPr>
          <w:rFonts w:ascii="Times New Roman" w:eastAsia="Times New Roman" w:hAnsi="Times New Roman" w:cs="Times New Roman"/>
          <w:sz w:val="24"/>
          <w:szCs w:val="24"/>
        </w:rPr>
      </w:pPr>
      <w:r w:rsidRPr="00207AFC">
        <w:rPr>
          <w:rFonts w:ascii="Times New Roman" w:eastAsia="Times New Roman" w:hAnsi="Times New Roman" w:cs="Times New Roman"/>
          <w:color w:val="333333"/>
          <w:sz w:val="24"/>
          <w:szCs w:val="24"/>
          <w:shd w:val="clear" w:color="auto" w:fill="FFFFFF"/>
        </w:rPr>
        <w:t>3. Emily showed new cumulative counts that were asked about last time (see below). Kevin commented that counts are consistent with what he would expect from previous analyses.</w:t>
      </w:r>
    </w:p>
    <w:p w14:paraId="63762FC9" w14:textId="77777777" w:rsidR="00207AFC" w:rsidRPr="00207AFC" w:rsidRDefault="00207AFC" w:rsidP="00207AFC">
      <w:pPr>
        <w:numPr>
          <w:ilvl w:val="0"/>
          <w:numId w:val="3"/>
        </w:numPr>
        <w:shd w:val="clear" w:color="auto" w:fill="FFFFFF"/>
        <w:spacing w:after="0" w:line="240" w:lineRule="auto"/>
        <w:rPr>
          <w:rFonts w:ascii="Times New Roman" w:eastAsia="Times New Roman" w:hAnsi="Times New Roman" w:cs="Times New Roman"/>
          <w:color w:val="333333"/>
          <w:sz w:val="24"/>
          <w:szCs w:val="24"/>
        </w:rPr>
      </w:pPr>
      <w:r w:rsidRPr="00207AFC">
        <w:rPr>
          <w:rFonts w:ascii="Times New Roman" w:eastAsia="Times New Roman" w:hAnsi="Times New Roman" w:cs="Times New Roman"/>
          <w:color w:val="333333"/>
          <w:sz w:val="24"/>
          <w:szCs w:val="24"/>
        </w:rPr>
        <w:t>Count of FCOT in entire patient history after DX</w:t>
      </w:r>
    </w:p>
    <w:p w14:paraId="48141034" w14:textId="77777777" w:rsidR="00207AFC" w:rsidRPr="00207AFC" w:rsidRDefault="00207AFC" w:rsidP="00207AFC">
      <w:pPr>
        <w:numPr>
          <w:ilvl w:val="0"/>
          <w:numId w:val="3"/>
        </w:numPr>
        <w:shd w:val="clear" w:color="auto" w:fill="FFFFFF"/>
        <w:spacing w:after="0" w:line="240" w:lineRule="auto"/>
        <w:rPr>
          <w:rFonts w:ascii="Times New Roman" w:eastAsia="Times New Roman" w:hAnsi="Times New Roman" w:cs="Times New Roman"/>
          <w:color w:val="333333"/>
          <w:sz w:val="24"/>
          <w:szCs w:val="24"/>
        </w:rPr>
      </w:pPr>
      <w:r w:rsidRPr="00207AFC">
        <w:rPr>
          <w:rFonts w:ascii="Times New Roman" w:eastAsia="Times New Roman" w:hAnsi="Times New Roman" w:cs="Times New Roman"/>
          <w:color w:val="333333"/>
          <w:sz w:val="24"/>
          <w:szCs w:val="24"/>
        </w:rPr>
        <w:t>Count of FCOT in first year following DX</w:t>
      </w:r>
    </w:p>
    <w:p w14:paraId="709A3CEF" w14:textId="77777777" w:rsidR="00207AFC" w:rsidRDefault="00207AFC" w:rsidP="00207AFC">
      <w:pPr>
        <w:spacing w:after="0" w:line="240" w:lineRule="auto"/>
        <w:rPr>
          <w:rFonts w:ascii="Times New Roman" w:eastAsia="Times New Roman" w:hAnsi="Times New Roman" w:cs="Times New Roman"/>
          <w:color w:val="333333"/>
          <w:sz w:val="24"/>
          <w:szCs w:val="24"/>
          <w:shd w:val="clear" w:color="auto" w:fill="FFFFFF"/>
        </w:rPr>
      </w:pPr>
    </w:p>
    <w:p w14:paraId="44BE8118" w14:textId="772C1122" w:rsidR="00207AFC" w:rsidRPr="00207AFC" w:rsidRDefault="00207AFC" w:rsidP="00207AFC">
      <w:pPr>
        <w:spacing w:after="0" w:line="240" w:lineRule="auto"/>
        <w:rPr>
          <w:rFonts w:ascii="Times New Roman" w:eastAsia="Times New Roman" w:hAnsi="Times New Roman" w:cs="Times New Roman"/>
          <w:sz w:val="24"/>
          <w:szCs w:val="24"/>
        </w:rPr>
      </w:pPr>
      <w:r w:rsidRPr="00207AFC">
        <w:rPr>
          <w:rFonts w:ascii="Times New Roman" w:eastAsia="Times New Roman" w:hAnsi="Times New Roman" w:cs="Times New Roman"/>
          <w:color w:val="333333"/>
          <w:sz w:val="24"/>
          <w:szCs w:val="24"/>
          <w:shd w:val="clear" w:color="auto" w:fill="FFFFFF"/>
        </w:rPr>
        <w:t>4. Emily showed results of new augmented flags discussed in the last meeting. Kevin commented that counts generated from those flags are what we would expect from previous analyses.</w:t>
      </w:r>
    </w:p>
    <w:p w14:paraId="5B6B4644" w14:textId="77777777" w:rsidR="00207AFC" w:rsidRPr="00207AFC" w:rsidRDefault="00207AFC" w:rsidP="00207AFC">
      <w:pPr>
        <w:numPr>
          <w:ilvl w:val="0"/>
          <w:numId w:val="4"/>
        </w:numPr>
        <w:shd w:val="clear" w:color="auto" w:fill="FFFFFF"/>
        <w:spacing w:after="0" w:line="240" w:lineRule="auto"/>
        <w:rPr>
          <w:rFonts w:ascii="Times New Roman" w:eastAsia="Times New Roman" w:hAnsi="Times New Roman" w:cs="Times New Roman"/>
          <w:color w:val="333333"/>
          <w:sz w:val="24"/>
          <w:szCs w:val="24"/>
        </w:rPr>
      </w:pPr>
      <w:r w:rsidRPr="00207AFC">
        <w:rPr>
          <w:rFonts w:ascii="Times New Roman" w:eastAsia="Times New Roman" w:hAnsi="Times New Roman" w:cs="Times New Roman"/>
          <w:color w:val="333333"/>
          <w:sz w:val="24"/>
          <w:szCs w:val="24"/>
        </w:rPr>
        <w:t>FCOT greater than 1 year – if the patient has at least one FCOT transaction but the date of the first dispense is &gt; 365 days then this flag will be 1, otherwise 0</w:t>
      </w:r>
    </w:p>
    <w:p w14:paraId="3D7382A8" w14:textId="41FC7878" w:rsidR="00207AFC" w:rsidRPr="00207AFC" w:rsidRDefault="00207AFC" w:rsidP="00207AFC">
      <w:pPr>
        <w:numPr>
          <w:ilvl w:val="0"/>
          <w:numId w:val="4"/>
        </w:numPr>
        <w:shd w:val="clear" w:color="auto" w:fill="FFFFFF"/>
        <w:spacing w:after="0" w:line="240" w:lineRule="auto"/>
        <w:rPr>
          <w:rFonts w:ascii="Times New Roman" w:eastAsia="Times New Roman" w:hAnsi="Times New Roman" w:cs="Times New Roman"/>
          <w:color w:val="333333"/>
          <w:sz w:val="24"/>
          <w:szCs w:val="24"/>
        </w:rPr>
      </w:pPr>
      <w:r w:rsidRPr="00207AFC">
        <w:rPr>
          <w:rFonts w:ascii="Times New Roman" w:eastAsia="Times New Roman" w:hAnsi="Times New Roman" w:cs="Times New Roman"/>
          <w:color w:val="333333"/>
          <w:sz w:val="24"/>
          <w:szCs w:val="24"/>
        </w:rPr>
        <w:lastRenderedPageBreak/>
        <w:t>No FCOT – patient has transactions of a particular modality but none get classified a</w:t>
      </w:r>
      <w:r>
        <w:rPr>
          <w:rFonts w:ascii="Times New Roman" w:eastAsia="Times New Roman" w:hAnsi="Times New Roman" w:cs="Times New Roman"/>
          <w:color w:val="333333"/>
          <w:sz w:val="24"/>
          <w:szCs w:val="24"/>
        </w:rPr>
        <w:t xml:space="preserve">s </w:t>
      </w:r>
      <w:r w:rsidRPr="00207AFC">
        <w:rPr>
          <w:rFonts w:ascii="Times New Roman" w:eastAsia="Times New Roman" w:hAnsi="Times New Roman" w:cs="Times New Roman"/>
          <w:color w:val="333333"/>
          <w:sz w:val="24"/>
          <w:szCs w:val="24"/>
        </w:rPr>
        <w:t>FCOT then flag =1, otherwise it is 0.</w:t>
      </w:r>
    </w:p>
    <w:p w14:paraId="468B862C" w14:textId="77777777" w:rsidR="00207AFC" w:rsidRDefault="00207AFC" w:rsidP="00207AFC">
      <w:pPr>
        <w:spacing w:after="0"/>
        <w:rPr>
          <w:rFonts w:ascii="Times New Roman" w:eastAsia="Times New Roman" w:hAnsi="Times New Roman" w:cs="Times New Roman"/>
          <w:color w:val="333333"/>
          <w:sz w:val="24"/>
          <w:szCs w:val="24"/>
          <w:shd w:val="clear" w:color="auto" w:fill="FFFFFF"/>
        </w:rPr>
      </w:pPr>
    </w:p>
    <w:p w14:paraId="459F6E04" w14:textId="116235E9" w:rsidR="00207AFC" w:rsidRDefault="00207AFC" w:rsidP="00207AFC">
      <w:pPr>
        <w:spacing w:after="0"/>
        <w:rPr>
          <w:rFonts w:ascii="Times New Roman" w:eastAsia="Times New Roman" w:hAnsi="Times New Roman" w:cs="Times New Roman"/>
          <w:color w:val="333333"/>
          <w:sz w:val="24"/>
          <w:szCs w:val="24"/>
          <w:shd w:val="clear" w:color="auto" w:fill="FFFFFF"/>
        </w:rPr>
      </w:pPr>
      <w:r w:rsidRPr="00207AFC">
        <w:rPr>
          <w:rFonts w:ascii="Times New Roman" w:eastAsia="Times New Roman" w:hAnsi="Times New Roman" w:cs="Times New Roman"/>
          <w:color w:val="333333"/>
          <w:sz w:val="24"/>
          <w:szCs w:val="24"/>
          <w:shd w:val="clear" w:color="auto" w:fill="FFFFFF"/>
        </w:rPr>
        <w:t>5. Immunotherapy drugs - We commented that we couldn't find anything wrong on our end and counts of BRM drugs in Idaho and Georgia are naturally low. Kevin was surprised until he looked up the BRM drug with the high</w:t>
      </w:r>
      <w:r>
        <w:rPr>
          <w:rFonts w:ascii="Times New Roman" w:eastAsia="Times New Roman" w:hAnsi="Times New Roman" w:cs="Times New Roman"/>
          <w:color w:val="333333"/>
          <w:sz w:val="24"/>
          <w:szCs w:val="24"/>
          <w:shd w:val="clear" w:color="auto" w:fill="FFFFFF"/>
        </w:rPr>
        <w:t>est</w:t>
      </w:r>
      <w:r w:rsidRPr="00207AFC">
        <w:rPr>
          <w:rFonts w:ascii="Times New Roman" w:eastAsia="Times New Roman" w:hAnsi="Times New Roman" w:cs="Times New Roman"/>
          <w:color w:val="333333"/>
          <w:sz w:val="24"/>
          <w:szCs w:val="24"/>
          <w:shd w:val="clear" w:color="auto" w:fill="FFFFFF"/>
        </w:rPr>
        <w:t xml:space="preserve"> frequency in the pharmacy data - Herceptin. It can be taken orally but is primarily taken via injection. Injection administrations wouldn't normally show up in pharmacy data which may explain the lower counts than expected.</w:t>
      </w:r>
      <w:r w:rsidRPr="00207AFC">
        <w:rPr>
          <w:rFonts w:ascii="Times New Roman" w:eastAsia="Times New Roman" w:hAnsi="Times New Roman" w:cs="Times New Roman"/>
          <w:color w:val="333333"/>
          <w:sz w:val="24"/>
          <w:szCs w:val="24"/>
        </w:rPr>
        <w:br/>
      </w:r>
    </w:p>
    <w:p w14:paraId="5D08E415" w14:textId="77777777" w:rsidR="00207AFC" w:rsidRDefault="00207AFC" w:rsidP="00207AFC">
      <w:pPr>
        <w:spacing w:after="0"/>
        <w:rPr>
          <w:rFonts w:ascii="Times New Roman" w:eastAsia="Times New Roman" w:hAnsi="Times New Roman" w:cs="Times New Roman"/>
          <w:color w:val="333333"/>
          <w:sz w:val="24"/>
          <w:szCs w:val="24"/>
          <w:shd w:val="clear" w:color="auto" w:fill="FFFFFF"/>
        </w:rPr>
      </w:pPr>
      <w:r w:rsidRPr="00207AFC">
        <w:rPr>
          <w:rFonts w:ascii="Times New Roman" w:eastAsia="Times New Roman" w:hAnsi="Times New Roman" w:cs="Times New Roman"/>
          <w:color w:val="333333"/>
          <w:sz w:val="24"/>
          <w:szCs w:val="24"/>
          <w:shd w:val="clear" w:color="auto" w:fill="FFFFFF"/>
        </w:rPr>
        <w:t>6. CanMED - NCI discussed with CanMED experts. Valentina Petkov is managing CanMED and doesn't want to make any changes to how drug classifications are being handled at this time but maybe in a few years. We will proceed with the classifications from Lois for now.</w:t>
      </w:r>
      <w:r w:rsidRPr="00207AFC">
        <w:rPr>
          <w:rFonts w:ascii="Times New Roman" w:eastAsia="Times New Roman" w:hAnsi="Times New Roman" w:cs="Times New Roman"/>
          <w:color w:val="333333"/>
          <w:sz w:val="24"/>
          <w:szCs w:val="24"/>
        </w:rPr>
        <w:br/>
      </w:r>
    </w:p>
    <w:p w14:paraId="0A7BB8B9" w14:textId="77777777" w:rsidR="00207AFC" w:rsidRDefault="00207AFC" w:rsidP="00207AFC">
      <w:pPr>
        <w:spacing w:after="0"/>
        <w:rPr>
          <w:rFonts w:ascii="Times New Roman" w:eastAsia="Times New Roman" w:hAnsi="Times New Roman" w:cs="Times New Roman"/>
          <w:color w:val="333333"/>
          <w:sz w:val="24"/>
          <w:szCs w:val="24"/>
          <w:shd w:val="clear" w:color="auto" w:fill="FFFFFF"/>
        </w:rPr>
      </w:pPr>
      <w:r w:rsidRPr="00207AFC">
        <w:rPr>
          <w:rFonts w:ascii="Times New Roman" w:eastAsia="Times New Roman" w:hAnsi="Times New Roman" w:cs="Times New Roman"/>
          <w:color w:val="333333"/>
          <w:sz w:val="24"/>
          <w:szCs w:val="24"/>
          <w:shd w:val="clear" w:color="auto" w:fill="FFFFFF"/>
        </w:rPr>
        <w:t>7. </w:t>
      </w:r>
      <w:r w:rsidRPr="00207AFC">
        <w:rPr>
          <w:rFonts w:ascii="Times New Roman" w:eastAsia="Times New Roman" w:hAnsi="Times New Roman" w:cs="Times New Roman"/>
          <w:b/>
          <w:bCs/>
          <w:color w:val="333333"/>
          <w:sz w:val="24"/>
          <w:szCs w:val="24"/>
          <w:shd w:val="clear" w:color="auto" w:fill="FFFFFF"/>
        </w:rPr>
        <w:t>Action</w:t>
      </w:r>
      <w:r w:rsidRPr="00207AFC">
        <w:rPr>
          <w:rFonts w:ascii="Times New Roman" w:eastAsia="Times New Roman" w:hAnsi="Times New Roman" w:cs="Times New Roman"/>
          <w:color w:val="333333"/>
          <w:sz w:val="24"/>
          <w:szCs w:val="24"/>
          <w:shd w:val="clear" w:color="auto" w:fill="FFFFFF"/>
        </w:rPr>
        <w:t>: David is developing a document to collect all the work we have done for this project into a more comprehensive single document that can be shared with people outside the workgroup.</w:t>
      </w:r>
      <w:r w:rsidRPr="00207AFC">
        <w:rPr>
          <w:rFonts w:ascii="Times New Roman" w:eastAsia="Times New Roman" w:hAnsi="Times New Roman" w:cs="Times New Roman"/>
          <w:color w:val="333333"/>
          <w:sz w:val="24"/>
          <w:szCs w:val="24"/>
        </w:rPr>
        <w:br/>
      </w:r>
    </w:p>
    <w:p w14:paraId="5377D822" w14:textId="77777777" w:rsidR="00207AFC" w:rsidRDefault="00207AFC" w:rsidP="00207AFC">
      <w:pPr>
        <w:spacing w:after="0"/>
        <w:rPr>
          <w:rFonts w:ascii="Times New Roman" w:eastAsia="Times New Roman" w:hAnsi="Times New Roman" w:cs="Times New Roman"/>
          <w:color w:val="333333"/>
          <w:sz w:val="24"/>
          <w:szCs w:val="24"/>
          <w:shd w:val="clear" w:color="auto" w:fill="FFFFFF"/>
        </w:rPr>
      </w:pPr>
      <w:r w:rsidRPr="00207AFC">
        <w:rPr>
          <w:rFonts w:ascii="Times New Roman" w:eastAsia="Times New Roman" w:hAnsi="Times New Roman" w:cs="Times New Roman"/>
          <w:color w:val="333333"/>
          <w:sz w:val="24"/>
          <w:szCs w:val="24"/>
          <w:shd w:val="clear" w:color="auto" w:fill="FFFFFF"/>
        </w:rPr>
        <w:t>8. </w:t>
      </w:r>
      <w:r w:rsidRPr="00207AFC">
        <w:rPr>
          <w:rFonts w:ascii="Times New Roman" w:eastAsia="Times New Roman" w:hAnsi="Times New Roman" w:cs="Times New Roman"/>
          <w:b/>
          <w:bCs/>
          <w:color w:val="333333"/>
          <w:sz w:val="24"/>
          <w:szCs w:val="24"/>
          <w:shd w:val="clear" w:color="auto" w:fill="FFFFFF"/>
        </w:rPr>
        <w:t>Action</w:t>
      </w:r>
      <w:r w:rsidRPr="00207AFC">
        <w:rPr>
          <w:rFonts w:ascii="Times New Roman" w:eastAsia="Times New Roman" w:hAnsi="Times New Roman" w:cs="Times New Roman"/>
          <w:color w:val="333333"/>
          <w:sz w:val="24"/>
          <w:szCs w:val="24"/>
          <w:shd w:val="clear" w:color="auto" w:fill="FFFFFF"/>
        </w:rPr>
        <w:t>: Emily and Jennifer will work towards finalizing the augmented data set.</w:t>
      </w:r>
      <w:r w:rsidRPr="00207AFC">
        <w:rPr>
          <w:rFonts w:ascii="Times New Roman" w:eastAsia="Times New Roman" w:hAnsi="Times New Roman" w:cs="Times New Roman"/>
          <w:color w:val="333333"/>
          <w:sz w:val="24"/>
          <w:szCs w:val="24"/>
        </w:rPr>
        <w:br/>
      </w:r>
    </w:p>
    <w:p w14:paraId="752FD000" w14:textId="476A48CE" w:rsidR="00207AFC" w:rsidRPr="00207AFC" w:rsidRDefault="00207AFC" w:rsidP="00207AFC">
      <w:pPr>
        <w:spacing w:after="0"/>
        <w:rPr>
          <w:rFonts w:ascii="Times New Roman" w:hAnsi="Times New Roman" w:cs="Times New Roman"/>
          <w:sz w:val="24"/>
          <w:szCs w:val="24"/>
        </w:rPr>
      </w:pPr>
      <w:r w:rsidRPr="00207AFC">
        <w:rPr>
          <w:rFonts w:ascii="Times New Roman" w:eastAsia="Times New Roman" w:hAnsi="Times New Roman" w:cs="Times New Roman"/>
          <w:color w:val="333333"/>
          <w:sz w:val="24"/>
          <w:szCs w:val="24"/>
          <w:shd w:val="clear" w:color="auto" w:fill="FFFFFF"/>
        </w:rPr>
        <w:t>9. Marina expressed interest in pulling Nadia Howlader and Kathy Cronin into the meeting on October 14 for a general discussion on the progress we have made.</w:t>
      </w:r>
    </w:p>
    <w:sectPr w:rsidR="00207AFC" w:rsidRPr="00207A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D53A1"/>
    <w:multiLevelType w:val="multilevel"/>
    <w:tmpl w:val="183E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B2219"/>
    <w:multiLevelType w:val="multilevel"/>
    <w:tmpl w:val="A76E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C53B7"/>
    <w:multiLevelType w:val="multilevel"/>
    <w:tmpl w:val="989C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A208EB"/>
    <w:multiLevelType w:val="multilevel"/>
    <w:tmpl w:val="841A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FC"/>
    <w:rsid w:val="000C182F"/>
    <w:rsid w:val="00207AFC"/>
    <w:rsid w:val="0061684A"/>
    <w:rsid w:val="007F10AA"/>
    <w:rsid w:val="00AA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3291"/>
  <w15:chartTrackingRefBased/>
  <w15:docId w15:val="{76D4DCD0-0DFA-421B-8B70-E820F1A6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A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7A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5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Angelaszek, David (IMS)</dc:creator>
  <cp:keywords/>
  <dc:description/>
  <cp:lastModifiedBy>Angelaszek, David (IMS)</cp:lastModifiedBy>
  <cp:revision>2</cp:revision>
  <dcterms:created xsi:type="dcterms:W3CDTF">2022-09-11T18:56:00Z</dcterms:created>
  <dcterms:modified xsi:type="dcterms:W3CDTF">2022-09-16T14:56:00Z</dcterms:modified>
</cp:coreProperties>
</file>